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59" w:rsidRPr="00FD6F59" w:rsidRDefault="00FD6F59" w:rsidP="00FD6F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59">
        <w:rPr>
          <w:rFonts w:ascii="Times New Roman" w:hAnsi="Times New Roman" w:cs="Times New Roman"/>
          <w:b/>
          <w:sz w:val="24"/>
          <w:szCs w:val="24"/>
        </w:rPr>
        <w:t>Department of Philosophy</w:t>
      </w:r>
    </w:p>
    <w:p w:rsidR="00FD6F59" w:rsidRPr="00FD6F59" w:rsidRDefault="00FD6F59" w:rsidP="00FD6F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6F59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FD6F59">
        <w:rPr>
          <w:rFonts w:ascii="Times New Roman" w:hAnsi="Times New Roman" w:cs="Times New Roman"/>
          <w:b/>
          <w:sz w:val="24"/>
          <w:szCs w:val="24"/>
        </w:rPr>
        <w:t>: B.A. Philosophy (CBCS Regular)</w:t>
      </w:r>
    </w:p>
    <w:p w:rsidR="00FD6F59" w:rsidRPr="00FD6F59" w:rsidRDefault="00FD6F59" w:rsidP="00FD6F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F59">
        <w:rPr>
          <w:rFonts w:ascii="Times New Roman" w:hAnsi="Times New Roman" w:cs="Times New Roman"/>
          <w:b/>
          <w:sz w:val="24"/>
          <w:szCs w:val="24"/>
        </w:rPr>
        <w:t>Syllabus</w:t>
      </w:r>
    </w:p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</w:rPr>
        <w:t>1</w:t>
      </w:r>
      <w:r w:rsidRPr="007B5BF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B5BF8"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</w:rPr>
        <w:t>Paper: PHI-RC-1016</w:t>
      </w:r>
      <w:r w:rsidR="00FD6F59">
        <w:rPr>
          <w:rFonts w:ascii="Times New Roman" w:hAnsi="Times New Roman" w:cs="Times New Roman"/>
          <w:sz w:val="24"/>
          <w:szCs w:val="24"/>
        </w:rPr>
        <w:t xml:space="preserve"> (</w:t>
      </w:r>
      <w:r w:rsidRPr="007B5BF8">
        <w:rPr>
          <w:rFonts w:ascii="Times New Roman" w:hAnsi="Times New Roman" w:cs="Times New Roman"/>
          <w:sz w:val="24"/>
          <w:szCs w:val="24"/>
        </w:rPr>
        <w:t>General Philosophy</w:t>
      </w:r>
      <w:r w:rsidR="00FD6F59">
        <w:rPr>
          <w:rFonts w:ascii="Times New Roman" w:hAnsi="Times New Roman" w:cs="Times New Roman"/>
          <w:sz w:val="24"/>
          <w:szCs w:val="24"/>
        </w:rPr>
        <w:t>)</w:t>
      </w:r>
    </w:p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675" w:type="dxa"/>
        <w:tblLook w:val="04A0"/>
      </w:tblPr>
      <w:tblGrid>
        <w:gridCol w:w="1276"/>
        <w:gridCol w:w="6662"/>
      </w:tblGrid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Definition, Nature and Scope of Philosophy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Branches of Philosophy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Realism and Idealism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Substance, Causality, Space and Time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Problem of Knowledge: Empiricism, Rationalism, Criticism,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Scepticism</w:t>
            </w:r>
            <w:proofErr w:type="spellEnd"/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IV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Relation of God and the world: Deism, Pantheism,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Panentheism</w:t>
            </w:r>
            <w:proofErr w:type="spellEnd"/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Proofs for existence of God: Ontological, Cosmological, Moral, Teleological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V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Theories of Truth: Correspondence, Coherence, Pragmatic </w:t>
            </w:r>
          </w:p>
        </w:tc>
      </w:tr>
    </w:tbl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63749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>2</w:t>
      </w:r>
      <w:r w:rsidRPr="007B5B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nd</w:t>
      </w: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 Semester </w:t>
      </w:r>
    </w:p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>Paper: PHI – RC – 2016 (Indian Philosophy)</w:t>
      </w:r>
    </w:p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7938" w:type="dxa"/>
        <w:tblInd w:w="675" w:type="dxa"/>
        <w:tblLook w:val="04A0"/>
      </w:tblPr>
      <w:tblGrid>
        <w:gridCol w:w="1276"/>
        <w:gridCol w:w="6662"/>
      </w:tblGrid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Development of Indian Philosophy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Meaning and scope of Indian Philosophy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Schools of Indian Philosophy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Common characteristic of Indian System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Buddhism: Four Noble Truths, Theory of Impermanence, No-Soul Theory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Jainism: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Syadvada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Anekantavada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Samkhya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Purusa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Prakriti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, Evolution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Nyaya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Pramanas</w:t>
            </w:r>
            <w:proofErr w:type="spellEnd"/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IV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Samkara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: Brahman,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Avidya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Adhyasa</w:t>
            </w:r>
            <w:proofErr w:type="spellEnd"/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Ramanuja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: Brahman,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Jiva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Prakriti</w:t>
            </w:r>
            <w:proofErr w:type="spellEnd"/>
          </w:p>
        </w:tc>
      </w:tr>
    </w:tbl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>3</w:t>
      </w:r>
      <w:r w:rsidRPr="007B5B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rd</w:t>
      </w: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 Semester</w:t>
      </w:r>
    </w:p>
    <w:p w:rsid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lastRenderedPageBreak/>
        <w:t>Paper</w:t>
      </w: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: </w:t>
      </w:r>
      <w:r w:rsidRPr="007B5BF8">
        <w:rPr>
          <w:rFonts w:ascii="Times New Roman" w:hAnsi="Times New Roman" w:cs="Times New Roman"/>
          <w:sz w:val="24"/>
          <w:szCs w:val="24"/>
        </w:rPr>
        <w:t>PHI-RC-3016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B5BF8">
        <w:rPr>
          <w:rFonts w:ascii="Times New Roman" w:hAnsi="Times New Roman" w:cs="Times New Roman"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675" w:type="dxa"/>
        <w:tblLook w:val="04A0"/>
      </w:tblPr>
      <w:tblGrid>
        <w:gridCol w:w="1276"/>
        <w:gridCol w:w="6662"/>
      </w:tblGrid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Nature, Scope and utility of Ethics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Moral Consciousness, Object of Moral Judgment, Moral Obligation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Virtue Ethics: Aristotle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Deontological Ethics: Kant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Utilitarianism: Bentham, Mill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Theories of Punishment, Capital Punishment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Professional Ethics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Environmental Ethics</w:t>
            </w:r>
          </w:p>
        </w:tc>
      </w:tr>
      <w:tr w:rsidR="007B5BF8" w:rsidRPr="007B5BF8" w:rsidTr="007B5BF8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IV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Law of Karma, Varna and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Asrama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 Dharma,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Purusarthas</w:t>
            </w:r>
            <w:proofErr w:type="spellEnd"/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Buddhist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Pancasila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Brahmavihara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Bodhisattva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Bhumis</w:t>
            </w:r>
            <w:proofErr w:type="spellEnd"/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Jaina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Triratna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Anuvrata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Mahavrata</w:t>
            </w:r>
            <w:proofErr w:type="spellEnd"/>
          </w:p>
        </w:tc>
      </w:tr>
    </w:tbl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FD6F59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>4</w:t>
      </w:r>
      <w:r w:rsidRPr="007B5B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 Semester</w:t>
      </w:r>
    </w:p>
    <w:p w:rsid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Paper: </w:t>
      </w:r>
      <w:r w:rsidRPr="007B5BF8">
        <w:rPr>
          <w:rFonts w:ascii="Times New Roman" w:hAnsi="Times New Roman" w:cs="Times New Roman"/>
          <w:sz w:val="24"/>
          <w:szCs w:val="24"/>
        </w:rPr>
        <w:t>PHI-RC-4016</w:t>
      </w:r>
      <w:r w:rsidR="00FD6F59">
        <w:rPr>
          <w:rFonts w:ascii="Times New Roman" w:hAnsi="Times New Roman" w:cs="Times New Roman"/>
          <w:sz w:val="24"/>
          <w:szCs w:val="24"/>
          <w:lang w:val="en-IN"/>
        </w:rPr>
        <w:t xml:space="preserve"> (</w:t>
      </w:r>
      <w:r w:rsidRPr="007B5BF8">
        <w:rPr>
          <w:rFonts w:ascii="Times New Roman" w:hAnsi="Times New Roman" w:cs="Times New Roman"/>
          <w:sz w:val="24"/>
          <w:szCs w:val="24"/>
        </w:rPr>
        <w:t>Logic</w:t>
      </w:r>
      <w:r w:rsidR="00FD6F59">
        <w:rPr>
          <w:rFonts w:ascii="Times New Roman" w:hAnsi="Times New Roman" w:cs="Times New Roman"/>
          <w:sz w:val="24"/>
          <w:szCs w:val="24"/>
        </w:rPr>
        <w:t>)</w:t>
      </w:r>
    </w:p>
    <w:p w:rsidR="00FD6F59" w:rsidRPr="00FD6F59" w:rsidRDefault="00FD6F59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7938" w:type="dxa"/>
        <w:tblInd w:w="675" w:type="dxa"/>
        <w:tblLook w:val="04A0"/>
      </w:tblPr>
      <w:tblGrid>
        <w:gridCol w:w="1276"/>
        <w:gridCol w:w="6662"/>
      </w:tblGrid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Unit I: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Propositions and Arguments</w:t>
            </w:r>
          </w:p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Truth and Validity</w:t>
            </w:r>
          </w:p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Deduction and Induction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Unit II: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Categorical Proposition, Translating Ordinary Proposition into Standard Form</w:t>
            </w:r>
          </w:p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Square of Opposition</w:t>
            </w:r>
          </w:p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Categorical Syllogism, Figures and Moods</w:t>
            </w:r>
          </w:p>
          <w:p w:rsidR="007B5BF8" w:rsidRPr="00FD6F59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Immediate Inference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Unit III: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Symbolic Logic and its Characteristics, Uses of Symbols</w:t>
            </w:r>
          </w:p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Relation Between Traditional Logic and Symbolic Logic</w:t>
            </w:r>
          </w:p>
          <w:p w:rsidR="007B5BF8" w:rsidRPr="00FD6F59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Modern Classification of Propositions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Unit IV: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pStyle w:val="ListParagraph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Logical Connectives: And, Or, Not, Material Conditional, Bi-conditional Symbolization of everyday language</w:t>
            </w:r>
          </w:p>
          <w:p w:rsidR="007B5BF8" w:rsidRPr="00FD6F59" w:rsidRDefault="007B5BF8" w:rsidP="00FD6F59">
            <w:pPr>
              <w:pStyle w:val="ListParagraph"/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Truth – Table method of testing validity of argument, Shorter Truth Table</w:t>
            </w:r>
          </w:p>
        </w:tc>
      </w:tr>
    </w:tbl>
    <w:p w:rsidR="00FD6F59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lastRenderedPageBreak/>
        <w:t>5</w:t>
      </w:r>
      <w:r w:rsidRPr="007B5B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 Semester</w:t>
      </w:r>
    </w:p>
    <w:p w:rsid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Paper: </w:t>
      </w:r>
      <w:r w:rsidRPr="007B5BF8">
        <w:rPr>
          <w:rFonts w:ascii="Times New Roman" w:hAnsi="Times New Roman" w:cs="Times New Roman"/>
          <w:sz w:val="24"/>
          <w:szCs w:val="24"/>
        </w:rPr>
        <w:t>PHI-RC-5016</w:t>
      </w:r>
      <w:r w:rsidR="00FD6F59">
        <w:rPr>
          <w:rFonts w:ascii="Times New Roman" w:hAnsi="Times New Roman" w:cs="Times New Roman"/>
          <w:sz w:val="24"/>
          <w:szCs w:val="24"/>
        </w:rPr>
        <w:t xml:space="preserve"> (</w:t>
      </w:r>
      <w:r w:rsidRPr="007B5BF8">
        <w:rPr>
          <w:rFonts w:ascii="Times New Roman" w:hAnsi="Times New Roman" w:cs="Times New Roman"/>
          <w:sz w:val="24"/>
          <w:szCs w:val="24"/>
        </w:rPr>
        <w:t>Contemporary Indian Philosophy</w:t>
      </w:r>
      <w:r w:rsidR="00FD6F59">
        <w:rPr>
          <w:rFonts w:ascii="Times New Roman" w:hAnsi="Times New Roman" w:cs="Times New Roman"/>
          <w:sz w:val="24"/>
          <w:szCs w:val="24"/>
        </w:rPr>
        <w:t>)</w:t>
      </w:r>
    </w:p>
    <w:p w:rsidR="00FD6F59" w:rsidRPr="007B5BF8" w:rsidRDefault="00FD6F59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675" w:type="dxa"/>
        <w:tblLook w:val="04A0"/>
      </w:tblPr>
      <w:tblGrid>
        <w:gridCol w:w="1276"/>
        <w:gridCol w:w="6662"/>
      </w:tblGrid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1: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Super mind</w:t>
            </w:r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Synthesis of Yoga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II: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Religious experience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Intellect and intuition</w:t>
            </w:r>
          </w:p>
          <w:p w:rsidR="00FD6F59" w:rsidRPr="007B5BF8" w:rsidRDefault="00FD6F59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and his destin</w:t>
            </w:r>
            <w:r w:rsidR="007B5BF8" w:rsidRPr="007B5BF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III: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Religion, Truth, non violence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Satyagraha,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Sarvodaya</w:t>
            </w:r>
            <w:proofErr w:type="spellEnd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Swadeshi</w:t>
            </w:r>
            <w:proofErr w:type="spellEnd"/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Critique of industrialization, trusteeship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IV :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Universal religion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Practical Vedanta</w:t>
            </w:r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Philosophy of education</w:t>
            </w:r>
          </w:p>
        </w:tc>
      </w:tr>
    </w:tbl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FD6F59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>6</w:t>
      </w:r>
      <w:r w:rsidRPr="007B5BF8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7B5BF8">
        <w:rPr>
          <w:rFonts w:ascii="Times New Roman" w:hAnsi="Times New Roman" w:cs="Times New Roman"/>
          <w:sz w:val="24"/>
          <w:szCs w:val="24"/>
          <w:lang w:val="en-IN"/>
        </w:rPr>
        <w:t xml:space="preserve"> Semester</w:t>
      </w:r>
    </w:p>
    <w:p w:rsid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  <w:lang w:val="en-IN"/>
        </w:rPr>
        <w:t>Paper:</w:t>
      </w:r>
      <w:r w:rsidRPr="007B5BF8">
        <w:rPr>
          <w:rFonts w:ascii="Times New Roman" w:hAnsi="Times New Roman" w:cs="Times New Roman"/>
          <w:sz w:val="24"/>
          <w:szCs w:val="24"/>
        </w:rPr>
        <w:t xml:space="preserve"> PHI-RC-6016</w:t>
      </w:r>
      <w:r w:rsidR="00FD6F59">
        <w:rPr>
          <w:rFonts w:ascii="Times New Roman" w:hAnsi="Times New Roman" w:cs="Times New Roman"/>
          <w:sz w:val="24"/>
          <w:szCs w:val="24"/>
        </w:rPr>
        <w:t xml:space="preserve"> (</w:t>
      </w:r>
      <w:r w:rsidRPr="007B5BF8">
        <w:rPr>
          <w:rFonts w:ascii="Times New Roman" w:hAnsi="Times New Roman" w:cs="Times New Roman"/>
          <w:sz w:val="24"/>
          <w:szCs w:val="24"/>
        </w:rPr>
        <w:t>Philosophy of Religion</w:t>
      </w:r>
      <w:r w:rsidR="00FD6F59">
        <w:rPr>
          <w:rFonts w:ascii="Times New Roman" w:hAnsi="Times New Roman" w:cs="Times New Roman"/>
          <w:sz w:val="24"/>
          <w:szCs w:val="24"/>
        </w:rPr>
        <w:t>)</w:t>
      </w:r>
    </w:p>
    <w:p w:rsidR="00FD6F59" w:rsidRPr="007B5BF8" w:rsidRDefault="00FD6F59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38" w:type="dxa"/>
        <w:tblInd w:w="675" w:type="dxa"/>
        <w:tblLook w:val="04A0"/>
      </w:tblPr>
      <w:tblGrid>
        <w:gridCol w:w="1276"/>
        <w:gridCol w:w="6662"/>
      </w:tblGrid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Defining religion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Nature of Philosophy of religion and its distinction from theology</w:t>
            </w:r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Religious experience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Reason, faith and revelation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Freedom of will</w:t>
            </w:r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Immortality of the soul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Deism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Pantheism</w:t>
            </w:r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Panentheism</w:t>
            </w:r>
            <w:proofErr w:type="spellEnd"/>
            <w:r w:rsidR="00FD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D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Monotheism</w:t>
            </w:r>
          </w:p>
        </w:tc>
      </w:tr>
      <w:tr w:rsidR="007B5BF8" w:rsidRPr="007B5BF8" w:rsidTr="00FD6F59">
        <w:tc>
          <w:tcPr>
            <w:tcW w:w="1276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 xml:space="preserve">Unit IV </w:t>
            </w:r>
          </w:p>
        </w:tc>
        <w:tc>
          <w:tcPr>
            <w:tcW w:w="6662" w:type="dxa"/>
          </w:tcPr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Ontological argument</w:t>
            </w:r>
          </w:p>
          <w:p w:rsidR="007B5BF8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Cosmological argument, teleological argument</w:t>
            </w:r>
          </w:p>
          <w:p w:rsidR="00FD6F59" w:rsidRPr="007B5BF8" w:rsidRDefault="007B5BF8" w:rsidP="00FD6F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BF8">
              <w:rPr>
                <w:rFonts w:ascii="Times New Roman" w:hAnsi="Times New Roman" w:cs="Times New Roman"/>
                <w:sz w:val="24"/>
                <w:szCs w:val="24"/>
              </w:rPr>
              <w:t>Moral argument</w:t>
            </w:r>
          </w:p>
        </w:tc>
      </w:tr>
    </w:tbl>
    <w:p w:rsidR="007B5BF8" w:rsidRPr="007B5BF8" w:rsidRDefault="007B5BF8" w:rsidP="00FD6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7B5BF8" w:rsidRPr="007B5BF8" w:rsidSect="00E63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BF8"/>
    <w:rsid w:val="007B5BF8"/>
    <w:rsid w:val="00A20850"/>
    <w:rsid w:val="00C441C0"/>
    <w:rsid w:val="00E63749"/>
    <w:rsid w:val="00F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0850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20850"/>
    <w:pPr>
      <w:ind w:left="490"/>
      <w:outlineLvl w:val="0"/>
    </w:pPr>
    <w:rPr>
      <w:sz w:val="27"/>
      <w:szCs w:val="27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A20850"/>
    <w:pPr>
      <w:ind w:left="480"/>
      <w:outlineLvl w:val="2"/>
    </w:pPr>
    <w:rPr>
      <w:sz w:val="25"/>
      <w:szCs w:val="25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A20850"/>
    <w:pPr>
      <w:ind w:left="1372"/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1"/>
    <w:unhideWhenUsed/>
    <w:qFormat/>
    <w:rsid w:val="00A20850"/>
    <w:pPr>
      <w:ind w:left="1939"/>
      <w:outlineLvl w:val="4"/>
    </w:pPr>
    <w:rPr>
      <w:sz w:val="23"/>
      <w:szCs w:val="23"/>
    </w:rPr>
  </w:style>
  <w:style w:type="paragraph" w:styleId="Heading6">
    <w:name w:val="heading 6"/>
    <w:basedOn w:val="Normal"/>
    <w:link w:val="Heading6Char"/>
    <w:uiPriority w:val="1"/>
    <w:semiHidden/>
    <w:unhideWhenUsed/>
    <w:qFormat/>
    <w:rsid w:val="00A2085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20850"/>
    <w:rPr>
      <w:rFonts w:ascii="Arial" w:eastAsia="Arial" w:hAnsi="Arial" w:cs="Arial"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A20850"/>
    <w:rPr>
      <w:rFonts w:ascii="Arial" w:eastAsia="Arial" w:hAnsi="Arial" w:cs="Arial"/>
      <w:sz w:val="25"/>
      <w:szCs w:val="25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20850"/>
    <w:rPr>
      <w:rFonts w:ascii="Arial" w:eastAsia="Arial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20850"/>
    <w:rPr>
      <w:rFonts w:ascii="Arial" w:eastAsia="Arial" w:hAnsi="Arial" w:cs="Arial"/>
      <w:sz w:val="23"/>
      <w:szCs w:val="2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20850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20850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20850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A20850"/>
    <w:pPr>
      <w:ind w:left="1373" w:hanging="590"/>
    </w:pPr>
  </w:style>
  <w:style w:type="table" w:styleId="TableGrid">
    <w:name w:val="Table Grid"/>
    <w:basedOn w:val="TableNormal"/>
    <w:uiPriority w:val="39"/>
    <w:rsid w:val="007B5BF8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2022-06-29T15:07:00Z</dcterms:created>
  <dcterms:modified xsi:type="dcterms:W3CDTF">2022-06-29T15:22:00Z</dcterms:modified>
</cp:coreProperties>
</file>